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htm" ContentType="text/html"/>
  <Default Extension="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eadc5f14e493d" /></Relationships>
</file>

<file path=word/document.xml><?xml version="1.0" encoding="utf-8"?>
<w:document xmlns:w="http://schemas.openxmlformats.org/wordprocessingml/2006/main">
  <w:body>
    <w:sectPr>
      <w:footerReference xmlns:r="http://schemas.openxmlformats.org/officeDocument/2006/relationships" r:id="R6e7060090dee4a60"/>
      <w:pgSz w:w="16839" w:h="11907" w:orient="landscape" w:code="9"/>
      <w:pgMar w:top="1417" w:right="1417" w:bottom="1417" w:left="1417" w:header="708" w:footer="708" w:gutter="0"/>
      <w:cols w:space="720"/>
      <w:docGrid w:linePitch="360"/>
    </w:sectPr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Verstehen der Organisation und ihres Kontextes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Verstehen der Erfordernisse und Erwartungen interessierter Parteien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Festlegen des Anwendungsbereichs des Informationssicherheitsmanagementsystems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Informationssicherheitsmanagementsystem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Führung und Verpflichtung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IS_K_ToEx AG_005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331e81dd1a7a434b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Eleanor Manager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vierteljährlich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Politik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IS_K_ToEx AG_004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434f685c8ffb45fd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Eleanor Manager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Rollen, Verantwortlichkeiten und Befugnisse in der Organisation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Allgemeines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Informationssicherheitsrisikobeurteilung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Informationssicherheitsrisikobehandlung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Informationssicherheitsziele und Planung zu deren Erreichung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Planning of changes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Ressourcen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Kompetenz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Bewusstsein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IS_K_ToEx AG_006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884da9c6417f4ae8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Eleanor Manager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Kommunikation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Allgemeines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Erstellen und Aktualisieren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Lenkung dokumentierter Information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Betriebliche Planung und Steuerung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IS_K_IT_006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6a23e50d170e4a61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Irmgard Computer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Detektiv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alle 2 Quartale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Informationssicherheitsrisikobeurteilung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Informationssicherheitsrisikobehandlung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Überwachung, Messung, Analyse und Bewertung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Allgemeines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Internes Auditprogramm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Managementbewertung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Allgemeines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Inputs der Managementbewertung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Ergebnisse der Managementbewertung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Fortlaufende Verbesserung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Nichtkonformität und Korrekturmaßnahmen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Informationssicherheitsrichtlinien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IS_K_ToEx AG_004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a7e8596915db445b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Eleanor Manager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Informationssicherheitsrollen und -verantwortlichkeiten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Aufgabentrennung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Verantwortlichkeiten der Leitung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Kontakt mit Behörden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IS_K_ToEx AG_007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d3ab689ce7ac4a16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Eleanor Manager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Kontakt mit speziellen Interessensgruppen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Bedrohungsintelligenz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 im Projektmanagement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Inventar der Informationen und anderen damit verbundenen Werten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Zulässiger Gebrauch von Informationen und anderen damit verbundenen Werten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Rückgabe von Werten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Klassifizierung von Information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Kennzeichnung von Information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Informationsübertragung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Zugangssteuerung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IS_K_IT_001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0c0ac714135b4821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Jakob Secure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IS_K_IT_002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e4053adb951c4378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Jakob Secure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alle 6 Monate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Identitätsmanagement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Informationen zur Authentifizierung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Zugangsrechte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 in Lieferantenbeziehungen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Behandlung von Informationssicherheit in Lieferantenvereinbarungen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Umgang mit der Informationssicherheit in der IKT-Lieferkette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Überwachung, Überprüfung und Änderungsmanagement von Lieferantendienstleistungen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 für die Nutzung von Cloud-Diensten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Planung und Vorbereitung der Handhabung von Informationssicherheitsvorfällen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Beurteilung und Entscheidung über Informationssicherheitsereignisse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Reaktion auf Informationssicherheitsvorfälle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Erkenntnisse aus Informationssicherheitsvorfällen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Sammeln von Beweismaterial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 bei Störungen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IS_K_IT_004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a0da097b5736451d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Irmgard Computer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IS_K_IT_005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c9d8b975e4714708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Irmgard Computer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IS_K_ToEx AG_002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6923cf7c92a64017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Irmgard Computer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IKT-Bereitschaft für Business Continuity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Rechtliche, gesetzliche, regulatorische und vertragliche Anforderungen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Geistige Eigentumsrechte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Schutz von Aufzeichnungen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Datenschutz und Schutz personenbezogener Daten (pbD)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Unabhängige Überprüfung der Informationssicherheit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Einhaltung von Richtlinien, Vorschriften und Normen für die Informationssicherheit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Dokumentierte Betriebsabläufe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Sicherheitsüberprüfung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Beschäftigungs- und Vertragsbedingungen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Informationssicherheitsbewusstsein, -ausbildung und -schulung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Maßregelungsprozess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Verantwortlichkeiten bei Beendigung oder Änderung der Beschäftigung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Vertraulichkeits- oder Geheimhaltungsvereinbarungen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Telearbeit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Meldung von Informationssicherheitsereignissen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Physische Sicherheitsperimeter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Physischer Zutritt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Sichern von Büros, Räumen und Einrichtungen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Physische Sicherheitsüberwachung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Schutz vor physischen und umweltbedingten Bedrohungen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Arbeiten in Sicherheitsbereichen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Aufgeräumte Arbeitsumgebung und Bildschirmsperren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Platzierung und Schutz von Geräten und Betriebsmitteln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Sicherheit von Werten außerhalb der Räumlichkeiten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Speichermedien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Versorgungseinrichtungen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Sicherheit der Verkabelung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Instandhaltung von Geräten und Betriebsmitteln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Sichere Entsorgung oder Wiederverwendung von Geräten und Betriebsmitteln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Endpunktgeräte des Benutzers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Privilegierte Zugangsrechte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Informationszugangsbeschränkung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Zugriff auf den Quellcode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Sichere Authentifizierung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Kapazitätssteuerung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Schutz gegen Schadsoftware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Handhabung von technischen Schwachstellen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Konfigurationsmanagement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Löschung von Informationen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Datenmaskierung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Verhinderung von Datenlecks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Sicherung von Information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IS_K_IT_003</w:t>
            </w:r>
          </w:p>
          <w:tcPr>
            <w:gridSpan w:val="1"/>
            <w:tcW w:w="1063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altChunk xmlns:r="http://schemas.openxmlformats.org/officeDocument/2006/relationships" r:id="Rbc46043d9b904389"/>
            </w:r>
          </w:p>
          <w:tcPr>
            <w:gridSpan w:val="1"/>
            <w:tcW w:w="4799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Umsetzer</w:t>
            </w:r>
          </w:p>
          <w:tcPr>
            <w:gridSpan w:val="1"/>
            <w:tcW w:w="2798" w:type="dxa"/>
            <w:tcBorders>
              <w:top w:val="basicThinLines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Jakob Secure</w:t>
            </w:r>
          </w:p>
          <w:tcPr>
            <w:gridSpan w:val="1"/>
            <w:tcW w:w="1888" w:type="dxa"/>
            <w:tcBorders>
              <w:top w:val="basicThinLines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restart"/>
            <w:vAlign w:val="top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restart"/>
            <w:vAlign w:val="top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Kontrolltyp</w:t>
            </w:r>
          </w:p>
          <w:tcPr>
            <w:gridSpan w:val="1"/>
            <w:tcW w:w="2798" w:type="dxa"/>
            <w:tcBorders>
              <w:top w:val="dotted" w:sz="2"/>
              <w:bottom w:val="dotted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Vorbeugend</w:t>
            </w:r>
          </w:p>
          <w:tcPr>
            <w:gridSpan w:val="1"/>
            <w:tcW w:w="1888" w:type="dxa"/>
            <w:tcBorders>
              <w:top w:val="dotted" w:sz="2"/>
              <w:bottom w:val="dotted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63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4799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Häufigkeit der Kontrolle</w:t>
            </w:r>
          </w:p>
          <w:tcPr>
            <w:gridSpan w:val="1"/>
            <w:tcW w:w="2798" w:type="dxa"/>
            <w:tcBorders>
              <w:top w:val="dotted" w:sz="2"/>
              <w:bottom w:val="basicThinLines" w:sz="2"/>
              <w:left w:val="basicThinLines" w:sz="2"/>
              <w:right w:val="dotted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vierteljährlich</w:t>
            </w:r>
          </w:p>
          <w:tcPr>
            <w:gridSpan w:val="1"/>
            <w:tcW w:w="1888" w:type="dxa"/>
            <w:tcBorders>
              <w:top w:val="dotted" w:sz="2"/>
              <w:bottom w:val="basicThinLines" w:sz="2"/>
              <w:left w:val="dotted" w:sz="2"/>
              <w:right w:val="basicThinLines" w:sz="2"/>
            </w:tcBorders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Redundanz von informationsverarbeitenden Einrichtungen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Protokollierung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Überwachung von Aktivitäten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Uhrensynchronisation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Gebrauch von Hilfsprogrammen mit privilegierten Rechten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Installation von Software auf Systemen im Betrieb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Netzwerksicherheit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Sicherheit von Netzwerkdiensten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Trennung von Netzwerken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Webfilterung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Verwendung von Kryptographie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Lebenszyklus einer sicheren Entwicklung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Anforderungen an die Anwendungssicherheit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Sichere Systemarchitektur und technische Grundsätze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Sicheres Coding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Sicherheitsprüfung in Entwicklung und Abnahme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Ausgegliederte Entwicklung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Trennung von Entwicklungs-, Prüf- und Produktionsumgebungen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Änderungssteuerung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Prüfinformationen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  <w:tbl>
      <w:tblPr>
        <w:tblBorders>
          <w:top w:val="basicThinLines" w:sz="2"/>
          <w:bottom w:val="basicThinLines" w:sz="2"/>
          <w:left w:val="basicThinLines" w:sz="2"/>
          <w:right w:val="basicThinLines" w:sz="2"/>
          <w:insideH w:val="basicThinLines" w:sz="2"/>
          <w:insideV w:val="basicThinLines" w:sz="2"/>
        </w:tblBorders>
        <w:tblStyle w:val="TableGrid"/>
        <w:tblW w:w="5000" w:type="pct"/>
      </w:tblPr>
      <w:tr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Beschreibung der Kontrolle</w:t>
            </w:r>
          </w:p>
          <w:tcPr>
            <w:gridSpan w:val="4"/>
            <w:tcW w:w="10548" w:type="dxa"/>
            <w:shd w:val="clear" w:color="auto" w:fill="7F7F7F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headerParagraphStyle"/>
            </w:pPr>
            <w:r>
              <w:rPr>
                <w:lang w:val="de-DE" w:bidi="de-DE"/>
              </w:rPr>
              <w:t>Prüfung der Kontrolle</w:t>
            </w:r>
          </w:p>
          <w:tcPr>
            <w:gridSpan w:val="2"/>
            <w:tcW w:w="3443" w:type="dxa"/>
            <w:shd w:val="clear" w:color="auto" w:fill="7F7F7F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Kontrollziel: Schutz der Informationssysteme während der Überwachungsprüfung</w:t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Beschreibung der Tests</w:t>
            </w:r>
          </w:p>
          <w:tcPr>
            <w:gridSpan w:val="1"/>
            <w:tcW w:w="2364" w:type="dxa"/>
            <w:vMerge w:val="restart"/>
            <w:vAlign w:val="center"/>
          </w:tcPr>
        </w:tc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Testergebnisse</w:t>
            </w:r>
          </w:p>
          <w:tcPr>
            <w:gridSpan w:val="1"/>
            <w:tcW w:w="1079" w:type="dxa"/>
            <w:vMerge w:val="restart"/>
            <w:vAlign w:val="center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4"/>
            <w:tcW w:w="10548" w:type="dxa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2364" w:type="dxa"/>
            <w:vMerge w:val="continue"/>
          </w:tcPr>
        </w:tc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/>
            </w:r>
          </w:p>
          <w:tcPr>
            <w:gridSpan w:val="1"/>
            <w:tcW w:w="1079" w:type="dxa"/>
            <w:vMerge w:val="continue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  <w:pStyle w:val="defBoldParagraphStyle"/>
            </w:pPr>
            <w:r>
              <w:rPr>
                <w:lang w:val="de-DE" w:bidi="de-DE"/>
              </w:rPr>
              <w:t>Kontrollmaßnahmen</w:t>
            </w:r>
          </w:p>
          <w:tcPr>
            <w:gridSpan w:val="6"/>
            <w:tcW w:w="13991" w:type="dxa"/>
          </w:tcPr>
        </w:tc>
      </w:tr>
      <w:tr>
        <w:tc>
          <w:p>
            <w:pPr>
              <w:spacing w:before="0" w:after="20" w:line="240" w:lineRule="auto"/>
              <w:keepNext/>
              <w:ind w:leftChars="40" w:rightChars="40"/>
            </w:pPr>
            <w:r>
              <w:rPr>
                <w:lang w:val="de-DE" w:bidi="de-DE"/>
              </w:rPr>
              <w:t>Zu diesem Kontrollziel wurden keine Kontrollmaßnahmen gefunden.</w:t>
            </w:r>
          </w:p>
          <w:tcPr>
            <w:gridSpan w:val="6"/>
            <w:tcW w:w="13991" w:type="dxa"/>
          </w:tcPr>
        </w:tc>
      </w:tr>
    </w:tbl>
    <w:p/>
  </w:body>
</w:document>
</file>

<file path=word/footer1.xml><?xml version="1.0" encoding="utf-8"?>
<w:ftr xmlns:w="http://schemas.openxmlformats.org/wordprocessingml/2006/main">
  <w:p>
    <w:pPr>
      <w:pStyle w:val="Footer"/>
      <w:jc w:val="center"/>
    </w:pPr>
    <w:r>
      <w:fldSimple w:instr="PAGE \* ArabicDash"/>
    </w:r>
  </w:p>
</w:ftr>
</file>

<file path=word/styles.xml><?xml version="1.0" encoding="utf-8"?>
<w:styles xmlns:w="http://schemas.openxmlformats.org/wordprocessingml/2006/main">
  <w:style w:type="paragraph" w:styleId="defParagraphStyle" w:default="true" w:customStyle="true">
    <w:autoRedefine w:val="off"/>
    <w:basedOn w:val="Normal"/>
    <w:link w:val="OverdueAmountChar"/>
    <w:locked w:val="off"/>
    <w:qFormat w:val="on"/>
    <w:hidden w:val="off"/>
    <w:semiHidden w:val="off"/>
    <w:name w:val="Default"/>
    <w:next w:val="Normal"/>
    <w:uiPriority w:val="1"/>
    <w:unhideWhenUsed w:val="on"/>
    <w:rPr>
      <w:rFonts w:ascii="Arial"/>
      <w:sz w:val="18"/>
    </w:rPr>
  </w:style>
  <w:style w:type="paragraph" w:styleId="defBoldParagraphStyle" w:default="false" w:customStyle="true">
    <w:autoRedefine w:val="off"/>
    <w:basedOn w:val="Normal"/>
    <w:link w:val="OverdueAmountChar"/>
    <w:locked w:val="off"/>
    <w:qFormat w:val="on"/>
    <w:hidden w:val="off"/>
    <w:semiHidden w:val="off"/>
    <w:name w:val="Default bold"/>
    <w:next w:val="Normal"/>
    <w:uiPriority w:val="1"/>
    <w:unhideWhenUsed w:val="on"/>
    <w:rPr>
      <w:rFonts w:ascii="Arial"/>
      <w:sz w:val="18"/>
      <w:b/>
    </w:rPr>
  </w:style>
  <w:style w:type="paragraph" w:styleId="headerParagraphStyle" w:default="false" w:customStyle="true">
    <w:autoRedefine w:val="off"/>
    <w:basedOn w:val="Normal"/>
    <w:link w:val="OverdueAmountChar"/>
    <w:locked w:val="off"/>
    <w:qFormat w:val="on"/>
    <w:hidden w:val="off"/>
    <w:semiHidden w:val="off"/>
    <w:name w:val="Default Headline"/>
    <w:next w:val="Normal"/>
    <w:uiPriority w:val="1"/>
    <w:unhideWhenUsed w:val="on"/>
    <w:rPr>
      <w:rFonts w:ascii="Arial"/>
      <w:sz w:val="18"/>
      <w:b/>
      <w:color w:val="Whit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6dbd7357584fdf" /><Relationship Type="http://schemas.openxmlformats.org/officeDocument/2006/relationships/aFChunk" Target="/word/afchunk.htm" Id="R331e81dd1a7a434b" /><Relationship Type="http://schemas.openxmlformats.org/officeDocument/2006/relationships/aFChunk" Target="/word/afchunk2.htm" Id="R434f685c8ffb45fd" /><Relationship Type="http://schemas.openxmlformats.org/officeDocument/2006/relationships/aFChunk" Target="/word/afchunk3.htm" Id="R884da9c6417f4ae8" /><Relationship Type="http://schemas.openxmlformats.org/officeDocument/2006/relationships/aFChunk" Target="/word/afchunk4.htm" Id="R6a23e50d170e4a61" /><Relationship Type="http://schemas.openxmlformats.org/officeDocument/2006/relationships/aFChunk" Target="/word/afchunk5.htm" Id="Ra7e8596915db445b" /><Relationship Type="http://schemas.openxmlformats.org/officeDocument/2006/relationships/aFChunk" Target="/word/afchunk6.htm" Id="Rd3ab689ce7ac4a16" /><Relationship Type="http://schemas.openxmlformats.org/officeDocument/2006/relationships/aFChunk" Target="/word/afchunk7.htm" Id="R0c0ac714135b4821" /><Relationship Type="http://schemas.openxmlformats.org/officeDocument/2006/relationships/aFChunk" Target="/word/afchunk8.htm" Id="Re4053adb951c4378" /><Relationship Type="http://schemas.openxmlformats.org/officeDocument/2006/relationships/aFChunk" Target="/word/afchunk9.htm" Id="Ra0da097b5736451d" /><Relationship Type="http://schemas.openxmlformats.org/officeDocument/2006/relationships/aFChunk" Target="/word/afchunk10.htm" Id="Rc9d8b975e4714708" /><Relationship Type="http://schemas.openxmlformats.org/officeDocument/2006/relationships/aFChunk" Target="/word/afchunk11.htm" Id="R6923cf7c92a64017" /><Relationship Type="http://schemas.openxmlformats.org/officeDocument/2006/relationships/aFChunk" Target="/word/afchunk12.htm" Id="Rbc46043d9b904389" /><Relationship Type="http://schemas.openxmlformats.org/officeDocument/2006/relationships/footer" Target="/word/footer1.xml" Id="R6e7060090dee4a60" /></Relationships>
</file>